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4C" w:rsidRPr="00807927" w:rsidRDefault="00944523">
      <w:pPr>
        <w:rPr>
          <w:b/>
          <w:bCs/>
          <w:sz w:val="24"/>
          <w:szCs w:val="24"/>
        </w:rPr>
      </w:pPr>
      <w:r>
        <w:t xml:space="preserve">                       </w:t>
      </w:r>
      <w:r w:rsidR="00042820" w:rsidRPr="00807927">
        <w:rPr>
          <w:b/>
          <w:bCs/>
          <w:sz w:val="24"/>
          <w:szCs w:val="24"/>
        </w:rPr>
        <w:t>LECTURES D’ÉTÉ A DESTINATION DES FUTURS ELEVES DE 2</w:t>
      </w:r>
      <w:r w:rsidR="00042820" w:rsidRPr="00807927">
        <w:rPr>
          <w:b/>
          <w:bCs/>
          <w:sz w:val="24"/>
          <w:szCs w:val="24"/>
          <w:vertAlign w:val="superscript"/>
        </w:rPr>
        <w:t>de</w:t>
      </w:r>
      <w:r w:rsidR="00042820" w:rsidRPr="00807927">
        <w:rPr>
          <w:b/>
          <w:bCs/>
          <w:sz w:val="24"/>
          <w:szCs w:val="24"/>
        </w:rPr>
        <w:t xml:space="preserve">                          2021</w:t>
      </w:r>
    </w:p>
    <w:p w:rsidR="00042820" w:rsidRDefault="00042820" w:rsidP="009C516E">
      <w:pPr>
        <w:spacing w:after="120"/>
      </w:pPr>
    </w:p>
    <w:p w:rsidR="00042820" w:rsidRDefault="00042820">
      <w:pPr>
        <w:rPr>
          <w:i/>
        </w:rPr>
      </w:pPr>
      <w:r w:rsidRPr="00042820">
        <w:rPr>
          <w:i/>
        </w:rPr>
        <w:t>Chaque élève choisira dans la liste suivante au moins un titre à lire pour la rentrée. Cette lecture sera évaluée dans le courant du mois de septembre. Néanmoins, nous invitons nos futurs élèves de 2</w:t>
      </w:r>
      <w:r w:rsidRPr="00311DEE">
        <w:rPr>
          <w:i/>
          <w:vertAlign w:val="superscript"/>
        </w:rPr>
        <w:t>de</w:t>
      </w:r>
      <w:r w:rsidRPr="00042820">
        <w:rPr>
          <w:i/>
        </w:rPr>
        <w:t xml:space="preserve"> à lire plus d’une œuvre de cette liste afin d’élargir leur culture littéraire et leurs compétences de lecture</w:t>
      </w:r>
      <w:r w:rsidR="001D440B">
        <w:rPr>
          <w:i/>
        </w:rPr>
        <w:t>,</w:t>
      </w:r>
      <w:r w:rsidRPr="00042820">
        <w:rPr>
          <w:i/>
        </w:rPr>
        <w:t xml:space="preserve"> et à </w:t>
      </w:r>
      <w:r>
        <w:rPr>
          <w:i/>
        </w:rPr>
        <w:t>(</w:t>
      </w:r>
      <w:r w:rsidRPr="00042820">
        <w:rPr>
          <w:i/>
        </w:rPr>
        <w:t>re</w:t>
      </w:r>
      <w:r>
        <w:rPr>
          <w:i/>
        </w:rPr>
        <w:t>)</w:t>
      </w:r>
      <w:r w:rsidRPr="00042820">
        <w:rPr>
          <w:i/>
        </w:rPr>
        <w:t>découvrir le plaisir du texte.</w:t>
      </w:r>
    </w:p>
    <w:p w:rsidR="00807927" w:rsidRPr="00807927" w:rsidRDefault="00807927" w:rsidP="00807927">
      <w:pPr>
        <w:spacing w:after="120"/>
        <w:rPr>
          <w:b/>
          <w:sz w:val="24"/>
          <w:szCs w:val="24"/>
        </w:rPr>
      </w:pPr>
      <w:r w:rsidRPr="00807927">
        <w:rPr>
          <w:b/>
          <w:sz w:val="24"/>
          <w:szCs w:val="24"/>
        </w:rPr>
        <w:t>Romans et nouvelles</w:t>
      </w:r>
    </w:p>
    <w:p w:rsidR="00042820" w:rsidRDefault="00042820" w:rsidP="001D440B">
      <w:pPr>
        <w:spacing w:after="0"/>
        <w:rPr>
          <w:b/>
        </w:rPr>
      </w:pPr>
      <w:r w:rsidRPr="001D440B">
        <w:rPr>
          <w:b/>
        </w:rPr>
        <w:t xml:space="preserve">1/ </w:t>
      </w:r>
      <w:r w:rsidRPr="001D440B">
        <w:rPr>
          <w:b/>
          <w:i/>
        </w:rPr>
        <w:t>Le soleil des Scorta</w:t>
      </w:r>
      <w:r w:rsidRPr="001D440B">
        <w:rPr>
          <w:b/>
        </w:rPr>
        <w:t>, Laurent Gaudé, 2004</w:t>
      </w:r>
    </w:p>
    <w:p w:rsidR="00F6772F" w:rsidRDefault="00F6772F" w:rsidP="001D440B">
      <w:r>
        <w:t>Montepuccio, sud de l’Italie, 1875. Le brigand Luciano Mascalzone commet un viol qui sera à l’origine de la famille des Scorta et de leur destin maudit, que nous suivrons sur plusieurs générations à tr</w:t>
      </w:r>
      <w:r>
        <w:t>a</w:t>
      </w:r>
      <w:r>
        <w:t xml:space="preserve">vers ce roman. </w:t>
      </w:r>
    </w:p>
    <w:p w:rsidR="00042820" w:rsidRPr="001D440B" w:rsidRDefault="00042820" w:rsidP="001D440B">
      <w:pPr>
        <w:spacing w:after="0"/>
        <w:rPr>
          <w:b/>
        </w:rPr>
      </w:pPr>
      <w:r w:rsidRPr="001D440B">
        <w:rPr>
          <w:b/>
        </w:rPr>
        <w:t>2/</w:t>
      </w:r>
      <w:r w:rsidRPr="001D440B">
        <w:rPr>
          <w:b/>
          <w:i/>
        </w:rPr>
        <w:t>Le Colonel Chabert</w:t>
      </w:r>
      <w:r w:rsidRPr="001D440B">
        <w:rPr>
          <w:b/>
        </w:rPr>
        <w:t>, Honoré de Balzac, 1832</w:t>
      </w:r>
    </w:p>
    <w:p w:rsidR="001D440B" w:rsidRDefault="00946030" w:rsidP="001D440B">
      <w:pPr>
        <w:spacing w:after="0"/>
      </w:pPr>
      <w:r>
        <w:t xml:space="preserve">Le colonel Chabert est laissé pour mort sur le champ de bataille. Pourtant il ressurgit 11 ans après </w:t>
      </w:r>
      <w:r w:rsidR="000451DA">
        <w:t>et demande à reconquérir ses droits sur sa fortune</w:t>
      </w:r>
      <w:r w:rsidR="004E4FCB">
        <w:t xml:space="preserve"> ; </w:t>
      </w:r>
      <w:r w:rsidR="000451DA">
        <w:t>sa femme s’est remariée et elle refuse de lui rendre son argent.</w:t>
      </w:r>
      <w:r w:rsidR="004E4FCB">
        <w:t xml:space="preserve"> Chabert plaide en justice mais la résurrection de cet ancien officier de l’Empire n’est pas la bienvenue dans le climat politique de la Restauration. </w:t>
      </w:r>
    </w:p>
    <w:p w:rsidR="000451DA" w:rsidRDefault="000451DA" w:rsidP="001D440B">
      <w:pPr>
        <w:spacing w:after="0"/>
      </w:pPr>
    </w:p>
    <w:p w:rsidR="001D440B" w:rsidRPr="001D440B" w:rsidRDefault="00042820" w:rsidP="001D440B">
      <w:pPr>
        <w:spacing w:after="0"/>
        <w:rPr>
          <w:b/>
        </w:rPr>
      </w:pPr>
      <w:r w:rsidRPr="001D440B">
        <w:rPr>
          <w:b/>
        </w:rPr>
        <w:t>3/</w:t>
      </w:r>
      <w:r w:rsidRPr="001D440B">
        <w:rPr>
          <w:b/>
          <w:i/>
        </w:rPr>
        <w:t>Ce qu’il advint du sauvage blanc</w:t>
      </w:r>
      <w:r w:rsidRPr="001D440B">
        <w:rPr>
          <w:b/>
        </w:rPr>
        <w:t>, François Garde,</w:t>
      </w:r>
      <w:r w:rsidR="00311DEE" w:rsidRPr="001D440B">
        <w:rPr>
          <w:b/>
        </w:rPr>
        <w:t xml:space="preserve"> 2012</w:t>
      </w:r>
    </w:p>
    <w:p w:rsidR="001D440B" w:rsidRPr="001D440B" w:rsidRDefault="001D440B" w:rsidP="001D440B">
      <w:pPr>
        <w:spacing w:after="0"/>
      </w:pPr>
      <w:r w:rsidRPr="001D440B">
        <w:rPr>
          <w:bCs/>
        </w:rPr>
        <w:t>Ce roman d’aventure raconte une histoire vraie : celle de Narcisse Pelletier, un marin vendéen du XIXème siècle. Abandonné pour une raison mystérieuse sur une plage australienne par son équipage, il est recueilli par des Aborigènes et tâche de s’adapter à leur mode de vie. Au bout de 17 ans, il est cependant retrouvé par un navire anglais. Il est devenu un « sauvage blanc » et doit réapprendre à vivre comme un Européen. Or il a tout oublié…même sa langue.</w:t>
      </w:r>
    </w:p>
    <w:p w:rsidR="001D440B" w:rsidRDefault="001D440B" w:rsidP="001D440B">
      <w:pPr>
        <w:spacing w:after="0"/>
      </w:pPr>
    </w:p>
    <w:p w:rsidR="00042820" w:rsidRPr="001D440B" w:rsidRDefault="00042820" w:rsidP="001D440B">
      <w:pPr>
        <w:spacing w:after="0"/>
        <w:rPr>
          <w:b/>
        </w:rPr>
      </w:pPr>
      <w:r w:rsidRPr="001D440B">
        <w:rPr>
          <w:b/>
        </w:rPr>
        <w:t>4/</w:t>
      </w:r>
      <w:r w:rsidRPr="001D440B">
        <w:rPr>
          <w:b/>
          <w:i/>
        </w:rPr>
        <w:t>Regain</w:t>
      </w:r>
      <w:r w:rsidRPr="001D440B">
        <w:rPr>
          <w:b/>
        </w:rPr>
        <w:t>, Jean Giono, 1930</w:t>
      </w:r>
    </w:p>
    <w:p w:rsidR="001D440B" w:rsidRDefault="0089018B" w:rsidP="001D440B">
      <w:pPr>
        <w:spacing w:after="0"/>
      </w:pPr>
      <w:r>
        <w:t>Un village en Provence. Tous sont partis sauf un homme : il vit comme il peut dans une nature sa</w:t>
      </w:r>
      <w:r>
        <w:t>u</w:t>
      </w:r>
      <w:r>
        <w:t xml:space="preserve">vage qui le rend lui aussi sauvage et dur. Un jour mystérieusement poussée vers ce lieu, arrive une femme. La vie renaît, avec l’harmonie et la joie. </w:t>
      </w:r>
    </w:p>
    <w:p w:rsidR="0089018B" w:rsidRDefault="0089018B" w:rsidP="001D440B">
      <w:pPr>
        <w:spacing w:after="0"/>
      </w:pPr>
    </w:p>
    <w:p w:rsidR="00042820" w:rsidRPr="001D440B" w:rsidRDefault="00042820" w:rsidP="001D440B">
      <w:pPr>
        <w:spacing w:after="0"/>
        <w:rPr>
          <w:b/>
        </w:rPr>
      </w:pPr>
      <w:r w:rsidRPr="001D440B">
        <w:rPr>
          <w:b/>
        </w:rPr>
        <w:t>5/</w:t>
      </w:r>
      <w:r w:rsidRPr="001D440B">
        <w:rPr>
          <w:b/>
          <w:i/>
        </w:rPr>
        <w:t>Un cœur simple</w:t>
      </w:r>
      <w:r w:rsidR="00407B23">
        <w:rPr>
          <w:b/>
        </w:rPr>
        <w:t xml:space="preserve"> (dans le recueil</w:t>
      </w:r>
      <w:r w:rsidRPr="001D440B">
        <w:rPr>
          <w:b/>
        </w:rPr>
        <w:t xml:space="preserve"> </w:t>
      </w:r>
      <w:r w:rsidRPr="001D440B">
        <w:rPr>
          <w:b/>
          <w:i/>
        </w:rPr>
        <w:t>Trois contes</w:t>
      </w:r>
      <w:r w:rsidR="00407B23">
        <w:rPr>
          <w:b/>
        </w:rPr>
        <w:t xml:space="preserve">), Gustave Flaubert, </w:t>
      </w:r>
      <w:r w:rsidRPr="001D440B">
        <w:rPr>
          <w:b/>
        </w:rPr>
        <w:t>1877</w:t>
      </w:r>
    </w:p>
    <w:p w:rsidR="001D440B" w:rsidRDefault="00407B23" w:rsidP="00407B23">
      <w:pPr>
        <w:spacing w:after="0"/>
        <w:jc w:val="both"/>
      </w:pPr>
      <w:r>
        <w:t xml:space="preserve">L’intrigue de cette nouvelle réaliste tient en quelques mots que nous emprunterons à la </w:t>
      </w:r>
      <w:r>
        <w:rPr>
          <w:i/>
        </w:rPr>
        <w:t>Correspo</w:t>
      </w:r>
      <w:r>
        <w:rPr>
          <w:i/>
        </w:rPr>
        <w:t>n</w:t>
      </w:r>
      <w:r>
        <w:rPr>
          <w:i/>
        </w:rPr>
        <w:t xml:space="preserve">dance </w:t>
      </w:r>
      <w:r w:rsidRPr="00407B23">
        <w:t>de son</w:t>
      </w:r>
      <w:r>
        <w:t xml:space="preserve"> auteur : «</w:t>
      </w:r>
      <w:r w:rsidRPr="00407B23">
        <w:rPr>
          <w:i/>
        </w:rPr>
        <w:t>L’</w:t>
      </w:r>
      <w:r>
        <w:rPr>
          <w:i/>
        </w:rPr>
        <w:t>Histoire d’</w:t>
      </w:r>
      <w:r w:rsidRPr="00407B23">
        <w:t>Un cœur simple </w:t>
      </w:r>
      <w:r w:rsidRPr="00407B23">
        <w:rPr>
          <w:i/>
        </w:rPr>
        <w:t xml:space="preserve">est tout bonnement le récit d’une vie obscure, celle d’une pauvre fille de campagne, dévote mais mystique, dévouée sans exaltation et tendre comme du pain frais. Elle aime successivement un homme, les enfants de sa maîtresse, un neveu, un vieillard qu’elle soigne, puis son perroquet ; quand le perroquet est mort, elle le fait empailler et, en mourant à son tour, elle confond le perroquet avec le Saint-Esprit. Cela n’est nullement ironique comme vous le supposez, mais au contraire très sérieux et très triste. </w:t>
      </w:r>
      <w:r w:rsidRPr="00407B23">
        <w:rPr>
          <w:rFonts w:ascii="Georgia" w:hAnsi="Georgia"/>
          <w:i/>
          <w:color w:val="343434"/>
          <w:sz w:val="12"/>
          <w:szCs w:val="12"/>
          <w:shd w:val="clear" w:color="auto" w:fill="FFFFFF"/>
        </w:rPr>
        <w:t> </w:t>
      </w:r>
      <w:r w:rsidRPr="00407B23">
        <w:rPr>
          <w:i/>
        </w:rPr>
        <w:t>Je veux apitoyer, faire pleurer les âmes sensibles – en étant une moi-même</w:t>
      </w:r>
      <w:r>
        <w:t xml:space="preserve"> » (Gustave Flaubert, </w:t>
      </w:r>
      <w:r w:rsidRPr="00407B23">
        <w:t xml:space="preserve">lettre à </w:t>
      </w:r>
      <w:r>
        <w:t>Mme</w:t>
      </w:r>
      <w:r w:rsidRPr="00407B23">
        <w:t xml:space="preserve"> Roger des Genettes, 19 juin 1876</w:t>
      </w:r>
      <w:r>
        <w:t>).</w:t>
      </w:r>
    </w:p>
    <w:p w:rsidR="00407B23" w:rsidRDefault="00407B23" w:rsidP="001D440B">
      <w:pPr>
        <w:spacing w:after="0"/>
      </w:pPr>
    </w:p>
    <w:p w:rsidR="00944523" w:rsidRDefault="00944523" w:rsidP="001D440B">
      <w:pPr>
        <w:spacing w:after="0"/>
        <w:rPr>
          <w:b/>
        </w:rPr>
      </w:pPr>
    </w:p>
    <w:p w:rsidR="00944523" w:rsidRDefault="00944523" w:rsidP="001D440B">
      <w:pPr>
        <w:spacing w:after="0"/>
        <w:rPr>
          <w:b/>
        </w:rPr>
      </w:pPr>
    </w:p>
    <w:p w:rsidR="001D440B" w:rsidRDefault="00042820" w:rsidP="001D440B">
      <w:pPr>
        <w:spacing w:after="0"/>
        <w:rPr>
          <w:b/>
        </w:rPr>
      </w:pPr>
      <w:r w:rsidRPr="001D440B">
        <w:rPr>
          <w:b/>
        </w:rPr>
        <w:lastRenderedPageBreak/>
        <w:t>6/</w:t>
      </w:r>
      <w:r w:rsidRPr="001D440B">
        <w:rPr>
          <w:b/>
          <w:i/>
        </w:rPr>
        <w:t>Un certain M. Piekielny</w:t>
      </w:r>
      <w:r w:rsidRPr="001D440B">
        <w:rPr>
          <w:b/>
        </w:rPr>
        <w:t>, François-Henri Désérable, 2017</w:t>
      </w:r>
    </w:p>
    <w:p w:rsidR="00A0740C" w:rsidRDefault="00A0740C" w:rsidP="00A0740C">
      <w:r>
        <w:t>Le narrateur se retrouve par le plus grand des hasards à Vilnius, devant l’immeuble où Romain Gary a passé son enfance qu’il raconte dans</w:t>
      </w:r>
      <w:r w:rsidRPr="00806367">
        <w:rPr>
          <w:i/>
          <w:iCs/>
        </w:rPr>
        <w:t xml:space="preserve"> La Promesse de l’aube </w:t>
      </w:r>
      <w:r>
        <w:t>et se souvient du chapitre 7 où il est question d’un certain M. Piekielny. Il va se lancer à la recherche de la véritable identité de ce perso</w:t>
      </w:r>
      <w:r>
        <w:t>n</w:t>
      </w:r>
      <w:r>
        <w:t xml:space="preserve">nage. Son enquête pleine de rebondissements va l’amener à démêler le vrai du faux, à retracer une partie de l’histoire du XXème siècle et de la communauté juive en Lituanie et à s’interroger sur ce qu’est le pouvoir de la littérature. </w:t>
      </w:r>
    </w:p>
    <w:p w:rsidR="00A0740C" w:rsidRDefault="00A0740C" w:rsidP="001D440B">
      <w:pPr>
        <w:spacing w:after="0"/>
      </w:pPr>
    </w:p>
    <w:p w:rsidR="001D440B" w:rsidRPr="001D440B" w:rsidRDefault="00042820" w:rsidP="001D440B">
      <w:pPr>
        <w:spacing w:after="0"/>
        <w:rPr>
          <w:b/>
        </w:rPr>
      </w:pPr>
      <w:r w:rsidRPr="001D440B">
        <w:rPr>
          <w:b/>
        </w:rPr>
        <w:t>7/</w:t>
      </w:r>
      <w:r w:rsidRPr="001D440B">
        <w:rPr>
          <w:b/>
          <w:i/>
        </w:rPr>
        <w:t>Petit pays</w:t>
      </w:r>
      <w:r w:rsidRPr="001D440B">
        <w:rPr>
          <w:b/>
        </w:rPr>
        <w:t>, Gaël Faye, 2016</w:t>
      </w:r>
    </w:p>
    <w:p w:rsidR="001D440B" w:rsidRPr="001D440B" w:rsidRDefault="001D440B" w:rsidP="001D440B">
      <w:pPr>
        <w:spacing w:after="0"/>
      </w:pPr>
      <w:r>
        <w:rPr>
          <w:rFonts w:ascii="Calibri" w:hAnsi="Calibri" w:cs="Calibri"/>
          <w:color w:val="000000"/>
        </w:rPr>
        <w:t>Dans les années 1990, un petit garçon vit au Burundi avec son père, un entrepreneur français, sa mère rwandaise et sa petite sœur. Il passe son temps à faire les quatre cents coups avec ses copains de classe jusqu’à ce que la guerre civile éclate mettant une fin à l’innocence de son enfance. </w:t>
      </w:r>
    </w:p>
    <w:p w:rsidR="001D440B" w:rsidRDefault="001D440B" w:rsidP="001D440B">
      <w:pPr>
        <w:spacing w:after="0"/>
      </w:pPr>
    </w:p>
    <w:p w:rsidR="00807927" w:rsidRPr="00807927" w:rsidRDefault="00807927" w:rsidP="00807927">
      <w:pPr>
        <w:spacing w:after="120"/>
        <w:rPr>
          <w:b/>
          <w:sz w:val="24"/>
          <w:szCs w:val="24"/>
        </w:rPr>
      </w:pPr>
      <w:r w:rsidRPr="00807927">
        <w:rPr>
          <w:b/>
          <w:sz w:val="24"/>
          <w:szCs w:val="24"/>
        </w:rPr>
        <w:t xml:space="preserve">Théâtre </w:t>
      </w:r>
    </w:p>
    <w:p w:rsidR="00042820" w:rsidRDefault="00042820" w:rsidP="001D440B">
      <w:pPr>
        <w:spacing w:after="0"/>
        <w:rPr>
          <w:b/>
          <w:iCs/>
        </w:rPr>
      </w:pPr>
      <w:r w:rsidRPr="001D440B">
        <w:rPr>
          <w:b/>
        </w:rPr>
        <w:t>8</w:t>
      </w:r>
      <w:r w:rsidRPr="001D440B">
        <w:rPr>
          <w:b/>
          <w:i/>
        </w:rPr>
        <w:t xml:space="preserve">/ </w:t>
      </w:r>
      <w:r w:rsidR="00807927">
        <w:rPr>
          <w:b/>
          <w:i/>
        </w:rPr>
        <w:t>Le Voyageur sa</w:t>
      </w:r>
      <w:r w:rsidR="00D13532">
        <w:rPr>
          <w:b/>
          <w:i/>
        </w:rPr>
        <w:t>n</w:t>
      </w:r>
      <w:r w:rsidR="00807927">
        <w:rPr>
          <w:b/>
          <w:i/>
        </w:rPr>
        <w:t>s bagage</w:t>
      </w:r>
      <w:r w:rsidR="00807927" w:rsidRPr="00807927">
        <w:rPr>
          <w:b/>
          <w:iCs/>
        </w:rPr>
        <w:t>, Jean Anouilh</w:t>
      </w:r>
    </w:p>
    <w:p w:rsidR="00807927" w:rsidRPr="00807927" w:rsidRDefault="00807927" w:rsidP="00807927">
      <w:pPr>
        <w:spacing w:after="0"/>
        <w:jc w:val="both"/>
      </w:pPr>
      <w:r w:rsidRPr="00807927">
        <w:t>Gaston a été retrouvé amnésique : il a oublié son passé, sa famille, et même son nom. Mais pour diverses raisons</w:t>
      </w:r>
      <w:r>
        <w:t>,</w:t>
      </w:r>
      <w:r w:rsidRPr="00807927">
        <w:t xml:space="preserve"> plusieurs familles disent le reconnaître pour un des leurs</w:t>
      </w:r>
      <w:r>
        <w:t>. Les Renaud, candidats les plus crédibles,</w:t>
      </w:r>
      <w:r w:rsidRPr="00807927">
        <w:t xml:space="preserve"> </w:t>
      </w:r>
      <w:r>
        <w:t>lui racontent ce qu’ont été sa vie, son caractère, son comportement. Gaston est atte</w:t>
      </w:r>
      <w:r>
        <w:t>r</w:t>
      </w:r>
      <w:r>
        <w:t>ré : comment se reconnaître dans cet homme brutal et odieux qu’ils lui décrivent ? Et si son amnésie lui permettait justement de repartir à zéro ?</w:t>
      </w:r>
    </w:p>
    <w:p w:rsidR="00807927" w:rsidRDefault="00807927" w:rsidP="001D440B">
      <w:pPr>
        <w:spacing w:after="0"/>
        <w:rPr>
          <w:b/>
          <w:iCs/>
        </w:rPr>
      </w:pPr>
    </w:p>
    <w:p w:rsidR="00807927" w:rsidRDefault="00807927" w:rsidP="001D440B">
      <w:pPr>
        <w:spacing w:after="0"/>
        <w:rPr>
          <w:b/>
          <w:iCs/>
        </w:rPr>
      </w:pPr>
      <w:r>
        <w:rPr>
          <w:b/>
          <w:iCs/>
        </w:rPr>
        <w:t xml:space="preserve">9/ </w:t>
      </w:r>
      <w:r w:rsidRPr="00807927">
        <w:rPr>
          <w:b/>
          <w:i/>
        </w:rPr>
        <w:t>Pour un oui ou pour un non</w:t>
      </w:r>
      <w:r>
        <w:rPr>
          <w:b/>
          <w:iCs/>
        </w:rPr>
        <w:t>, Nathalie Sarraute</w:t>
      </w:r>
    </w:p>
    <w:p w:rsidR="00807927" w:rsidRPr="00807927" w:rsidRDefault="00807927" w:rsidP="001D440B">
      <w:pPr>
        <w:spacing w:after="0"/>
      </w:pPr>
      <w:r w:rsidRPr="00807927">
        <w:t xml:space="preserve">Ces deux hommes sont amis depuis des années. Mais l’un d’eux ressent un certain éloignement de la part de l’autre. Il l’interroge, veut </w:t>
      </w:r>
      <w:r w:rsidR="00EC215B">
        <w:t>en connaître les raisons… et s’engage ainsi sur une pente dang</w:t>
      </w:r>
      <w:r w:rsidR="00EC215B">
        <w:t>e</w:t>
      </w:r>
      <w:r w:rsidR="00EC215B">
        <w:t xml:space="preserve">reuse, car plus le dialogue avance, et plus </w:t>
      </w:r>
      <w:r w:rsidR="008217C7">
        <w:t>les non-dits, les rancœurs secrètes vont remonter à la su</w:t>
      </w:r>
      <w:r w:rsidR="008217C7">
        <w:t>r</w:t>
      </w:r>
      <w:r w:rsidR="008217C7">
        <w:t xml:space="preserve">face. Le dialogue amical vire à l’affrontement, révélant la puissance et le danger des mots. </w:t>
      </w:r>
    </w:p>
    <w:sectPr w:rsidR="00807927" w:rsidRPr="00807927" w:rsidSect="009445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042820"/>
    <w:rsid w:val="00042820"/>
    <w:rsid w:val="000451DA"/>
    <w:rsid w:val="000835DA"/>
    <w:rsid w:val="001D440B"/>
    <w:rsid w:val="001E2332"/>
    <w:rsid w:val="00311DEE"/>
    <w:rsid w:val="00407B23"/>
    <w:rsid w:val="004E4FCB"/>
    <w:rsid w:val="005F6B70"/>
    <w:rsid w:val="00650D12"/>
    <w:rsid w:val="00807927"/>
    <w:rsid w:val="008217C7"/>
    <w:rsid w:val="0089018B"/>
    <w:rsid w:val="008D2C66"/>
    <w:rsid w:val="008F0A4C"/>
    <w:rsid w:val="00944523"/>
    <w:rsid w:val="00946030"/>
    <w:rsid w:val="009C516E"/>
    <w:rsid w:val="00A0740C"/>
    <w:rsid w:val="00A75403"/>
    <w:rsid w:val="00B2244D"/>
    <w:rsid w:val="00C62A81"/>
    <w:rsid w:val="00D13532"/>
    <w:rsid w:val="00EC215B"/>
    <w:rsid w:val="00F6772F"/>
    <w:rsid w:val="00FC630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D440B"/>
    <w:rPr>
      <w:i/>
      <w:iCs/>
    </w:rPr>
  </w:style>
</w:styles>
</file>

<file path=word/webSettings.xml><?xml version="1.0" encoding="utf-8"?>
<w:webSettings xmlns:r="http://schemas.openxmlformats.org/officeDocument/2006/relationships" xmlns:w="http://schemas.openxmlformats.org/wordprocessingml/2006/main">
  <w:divs>
    <w:div w:id="423764122">
      <w:bodyDiv w:val="1"/>
      <w:marLeft w:val="0"/>
      <w:marRight w:val="0"/>
      <w:marTop w:val="0"/>
      <w:marBottom w:val="0"/>
      <w:divBdr>
        <w:top w:val="none" w:sz="0" w:space="0" w:color="auto"/>
        <w:left w:val="none" w:sz="0" w:space="0" w:color="auto"/>
        <w:bottom w:val="none" w:sz="0" w:space="0" w:color="auto"/>
        <w:right w:val="none" w:sz="0" w:space="0" w:color="auto"/>
      </w:divBdr>
    </w:div>
    <w:div w:id="13478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Dominois</cp:lastModifiedBy>
  <cp:revision>2</cp:revision>
  <dcterms:created xsi:type="dcterms:W3CDTF">2021-06-26T09:09:00Z</dcterms:created>
  <dcterms:modified xsi:type="dcterms:W3CDTF">2021-06-26T09:09:00Z</dcterms:modified>
</cp:coreProperties>
</file>